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A4EC8" w:rsidTr="00FA4EC8">
        <w:tc>
          <w:tcPr>
            <w:tcW w:w="4253" w:type="dxa"/>
          </w:tcPr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A4EC8" w:rsidRDefault="00FA4E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A4EC8" w:rsidRDefault="00FA4EC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06E17">
        <w:rPr>
          <w:rFonts w:eastAsia="Calibri"/>
          <w:bCs/>
          <w:sz w:val="24"/>
          <w:szCs w:val="24"/>
        </w:rPr>
        <w:t>52.05.01 Актерское искусство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Pr="00E06E17">
        <w:rPr>
          <w:rFonts w:eastAsia="Calibri"/>
          <w:sz w:val="24"/>
          <w:szCs w:val="24"/>
        </w:rPr>
        <w:t>Артист драматического театра и кино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Default="00FA4EC8" w:rsidP="00497143">
      <w:pPr>
        <w:suppressAutoHyphens/>
        <w:rPr>
          <w:sz w:val="28"/>
          <w:szCs w:val="28"/>
          <w:lang w:eastAsia="ru-RU"/>
        </w:rPr>
      </w:pPr>
    </w:p>
    <w:p w:rsidR="00FA4EC8" w:rsidRPr="00322000" w:rsidRDefault="00FA4EC8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команды, в том числе, участвует в обмене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коммуникации в команде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595BA8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sz w:val="24"/>
                      <w:szCs w:val="24"/>
                      <w:lang w:eastAsia="ru-RU"/>
                    </w:rPr>
                    <w:t>УК1; УК3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683097">
      <w:pPr>
        <w:spacing w:before="120" w:after="120"/>
        <w:ind w:firstLine="709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наука о психике;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б) на легенды и мифы;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на факты, полученные в эксперименте;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общие закономерности психической деятельности;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это 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познавательные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потребностно-мотивационные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Вильгельмом Вундтом;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И.П.Павловым.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самонаблюдение;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11. Психологический эксперимент может быть: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естественным;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лабораторным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человек как носитель социально обусловленных свойств психики;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экстернальной;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интернальной;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г) верны все ответы;</w:t>
      </w:r>
      <w:r w:rsidR="00837E9F">
        <w:rPr>
          <w:color w:val="000000"/>
          <w:spacing w:val="-6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 наследственности;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З.Фрейд;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Э.Кречмер и У. Шелдон;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 По типологии У.Шелдона человек эктоморфного типа бывает: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маленьким, хрупким и чаще экстравертированным;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 И.П.Павлов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типа высшей нервной системы;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Для интровертированного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в) сосредоточенность на своём внутреннем мире;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сверхактивность;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социальная дезадаптация личности;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крайний вариант нормального характера;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демонстративной;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дистимной: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Люди с гипертимной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  <w:r w:rsidR="00837E9F">
        <w:rPr>
          <w:rFonts w:eastAsia="TimesNewRomanPSMT"/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  <w:r w:rsidR="00837E9F">
        <w:rPr>
          <w:sz w:val="24"/>
          <w:szCs w:val="24"/>
          <w:lang w:eastAsia="ru-RU"/>
        </w:rPr>
        <w:t>+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  <w:r w:rsidR="00837E9F">
        <w:rPr>
          <w:sz w:val="24"/>
          <w:szCs w:val="24"/>
          <w:lang w:eastAsia="ru-RU"/>
        </w:rPr>
        <w:t>+</w:t>
      </w:r>
      <w:bookmarkStart w:id="0" w:name="_GoBack"/>
      <w:bookmarkEnd w:id="0"/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этапы творческого процесса.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233977"/>
    <w:rsid w:val="002D7622"/>
    <w:rsid w:val="003C4008"/>
    <w:rsid w:val="00497143"/>
    <w:rsid w:val="00563288"/>
    <w:rsid w:val="00595BA8"/>
    <w:rsid w:val="006232D5"/>
    <w:rsid w:val="0063415D"/>
    <w:rsid w:val="00676093"/>
    <w:rsid w:val="00683097"/>
    <w:rsid w:val="00771F95"/>
    <w:rsid w:val="007D27BC"/>
    <w:rsid w:val="00837E9F"/>
    <w:rsid w:val="00977A7F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A4EC8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CA64E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66A6E-555C-4202-9E59-B8C3EDB5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9</cp:revision>
  <dcterms:created xsi:type="dcterms:W3CDTF">2022-02-09T13:10:00Z</dcterms:created>
  <dcterms:modified xsi:type="dcterms:W3CDTF">2022-11-16T12:24:00Z</dcterms:modified>
</cp:coreProperties>
</file>